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spacing w:line="360" w:lineRule="auto"/>
        <w:jc w:val="both"/>
        <w:rPr>
          <w:rFonts w:ascii="Poppins" w:cs="Poppins" w:eastAsia="Poppins" w:hAnsi="Poppins"/>
          <w:b w:val="1"/>
          <w:bCs w:val="1"/>
          <w:sz w:val="24"/>
          <w:szCs w:val="24"/>
        </w:rPr>
      </w:pPr>
      <w:r w:rsidDel="00000000" w:rsidR="00000000" w:rsidRPr="00000000">
        <w:rPr>
          <w:rFonts w:ascii="Poppins" w:cs="Poppins" w:eastAsia="Poppins" w:hAnsi="Poppins"/>
          <w:b w:val="1"/>
          <w:bCs w:val="1"/>
          <w:sz w:val="24"/>
          <w:szCs w:val="24"/>
          <w:rtl w:val="0"/>
        </w:rPr>
        <w:t xml:space="preserve">Jakub Bartoszek - CEO &amp; Founder Cashify</w:t>
      </w:r>
    </w:p>
    <w:p w:rsidR="00000000" w:rsidDel="00000000" w:rsidP="00000000" w:rsidRDefault="00000000" w:rsidRPr="00000000" w14:paraId="00000002">
      <w:pPr>
        <w:spacing w:line="360" w:lineRule="auto"/>
        <w:jc w:val="both"/>
        <w:rPr>
          <w:rFonts w:ascii="Poppins" w:cs="Poppins" w:eastAsia="Poppins" w:hAnsi="Poppins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360" w:lineRule="auto"/>
        <w:jc w:val="both"/>
        <w:rPr>
          <w:rFonts w:ascii="Poppins" w:cs="Poppins" w:eastAsia="Poppins" w:hAnsi="Poppins"/>
          <w:sz w:val="24"/>
          <w:szCs w:val="24"/>
        </w:rPr>
      </w:pPr>
      <w:r w:rsidDel="00000000" w:rsidR="00000000" w:rsidRPr="00000000">
        <w:rPr>
          <w:rFonts w:ascii="Poppins" w:cs="Poppins" w:eastAsia="Poppins" w:hAnsi="Poppins"/>
          <w:sz w:val="24"/>
          <w:szCs w:val="24"/>
          <w:rtl w:val="0"/>
        </w:rPr>
        <w:t xml:space="preserve">Przedsiębiorca i innowator, działający na styku finansów i technologii. Od wielu lat buduje infrastrukturę dla rynku aktywów cyfrowych w Polsce. Obecnie koncentruje się na rozwoju Cashify - jednej z największych sieci stacjonarnych kantorów kryptowalut i Kryptomatów oraz Cashify Gold - sklepu z metalami szlachetnymi i zegarkami premium. Jego celem jest zapewnienie bezpiecznego dostępu do nowoczesnych form inwestowania. Ekspert w zakresie wymiany aktywów cyfrowych oraz edukator w obszarze przeciwdziałania oszustwom kryptowalutowym.</w:t>
      </w:r>
    </w:p>
    <w:sectPr>
      <w:pgSz w:h="16838" w:w="11906" w:orient="portrait"/>
      <w:pgMar w:bottom="850.3937007874016" w:top="850.3937007874016" w:left="850.3937007874016" w:right="850.3937007874016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Poppins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pl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Poppins-regular.ttf"/><Relationship Id="rId2" Type="http://schemas.openxmlformats.org/officeDocument/2006/relationships/font" Target="fonts/Poppins-bold.ttf"/><Relationship Id="rId3" Type="http://schemas.openxmlformats.org/officeDocument/2006/relationships/font" Target="fonts/Poppins-italic.ttf"/><Relationship Id="rId4" Type="http://schemas.openxmlformats.org/officeDocument/2006/relationships/font" Target="fonts/Poppins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